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68AAB" w14:textId="0F3C9D4F" w:rsidR="002244A8" w:rsidRPr="00D6582C" w:rsidRDefault="002244A8" w:rsidP="00D56826">
      <w:pPr>
        <w:pStyle w:val="Kopfzeile"/>
        <w:spacing w:line="312" w:lineRule="auto"/>
        <w:rPr>
          <w:rFonts w:ascii="Arial" w:hAnsi="Arial" w:cs="Arial"/>
          <w:sz w:val="28"/>
          <w:szCs w:val="28"/>
        </w:rPr>
      </w:pPr>
      <w:r w:rsidRPr="00D6582C">
        <w:rPr>
          <w:rFonts w:ascii="Arial" w:hAnsi="Arial" w:cs="Arial"/>
          <w:sz w:val="28"/>
          <w:szCs w:val="28"/>
        </w:rPr>
        <w:t>PRESSEINFORMATION</w:t>
      </w:r>
    </w:p>
    <w:p w14:paraId="4DC4B88B" w14:textId="77777777" w:rsidR="002244A8" w:rsidRDefault="002244A8" w:rsidP="00D56826">
      <w:pPr>
        <w:spacing w:line="312" w:lineRule="auto"/>
        <w:rPr>
          <w:rFonts w:ascii="Arial" w:hAnsi="Arial" w:cs="Arial"/>
          <w:b/>
          <w:bCs/>
          <w:sz w:val="28"/>
          <w:szCs w:val="28"/>
        </w:rPr>
      </w:pPr>
    </w:p>
    <w:p w14:paraId="75D1AD53" w14:textId="4E6695E0" w:rsidR="007E7213" w:rsidRPr="004E54EF" w:rsidRDefault="005A42EE" w:rsidP="007E7213">
      <w:pPr>
        <w:spacing w:line="312" w:lineRule="auto"/>
        <w:contextualSpacing/>
        <w:rPr>
          <w:rFonts w:ascii="Arial" w:hAnsi="Arial" w:cs="Arial"/>
        </w:rPr>
      </w:pPr>
      <w:r w:rsidRPr="485F0C8B">
        <w:rPr>
          <w:rFonts w:ascii="Arial" w:hAnsi="Arial" w:cs="Arial"/>
          <w:b/>
          <w:bCs/>
          <w:sz w:val="28"/>
          <w:szCs w:val="28"/>
        </w:rPr>
        <w:t xml:space="preserve">Spritziger </w:t>
      </w:r>
      <w:r w:rsidR="00907DA9">
        <w:rPr>
          <w:rFonts w:ascii="Arial" w:hAnsi="Arial" w:cs="Arial"/>
          <w:b/>
          <w:bCs/>
          <w:sz w:val="28"/>
          <w:szCs w:val="28"/>
        </w:rPr>
        <w:t>Vodka-Mix</w:t>
      </w:r>
      <w:r w:rsidR="00637C23" w:rsidRPr="485F0C8B">
        <w:rPr>
          <w:rFonts w:ascii="Arial" w:hAnsi="Arial" w:cs="Arial"/>
          <w:b/>
          <w:bCs/>
          <w:sz w:val="28"/>
          <w:szCs w:val="28"/>
        </w:rPr>
        <w:t>:</w:t>
      </w:r>
      <w:r w:rsidRPr="485F0C8B">
        <w:rPr>
          <w:rFonts w:ascii="Arial" w:hAnsi="Arial" w:cs="Arial"/>
          <w:b/>
          <w:bCs/>
          <w:sz w:val="28"/>
          <w:szCs w:val="28"/>
        </w:rPr>
        <w:t xml:space="preserve"> </w:t>
      </w:r>
      <w:r w:rsidR="00907DA9">
        <w:rPr>
          <w:rFonts w:ascii="Arial" w:hAnsi="Arial" w:cs="Arial"/>
          <w:b/>
          <w:bCs/>
          <w:sz w:val="28"/>
          <w:szCs w:val="28"/>
        </w:rPr>
        <w:t>Kleiner Feigling Die Dose</w:t>
      </w:r>
    </w:p>
    <w:p w14:paraId="5D62EA11" w14:textId="77777777" w:rsidR="00261175" w:rsidRDefault="00261175" w:rsidP="00261175">
      <w:pPr>
        <w:spacing w:line="312" w:lineRule="auto"/>
        <w:contextualSpacing/>
        <w:rPr>
          <w:rFonts w:ascii="Arial" w:hAnsi="Arial" w:cs="Arial"/>
        </w:rPr>
      </w:pPr>
    </w:p>
    <w:p w14:paraId="25D916B9" w14:textId="1CBD5747" w:rsidR="00261175" w:rsidRDefault="00261175" w:rsidP="00BD1157">
      <w:pPr>
        <w:spacing w:line="360" w:lineRule="auto"/>
        <w:rPr>
          <w:rFonts w:ascii="Arial" w:hAnsi="Arial" w:cs="Arial"/>
        </w:rPr>
      </w:pPr>
      <w:r w:rsidRPr="2B523C1F">
        <w:rPr>
          <w:rFonts w:ascii="Arial" w:hAnsi="Arial" w:cs="Arial"/>
        </w:rPr>
        <w:t xml:space="preserve">Die Kleiner Feigling </w:t>
      </w:r>
      <w:r w:rsidR="00D0749D">
        <w:rPr>
          <w:rFonts w:ascii="Arial" w:hAnsi="Arial" w:cs="Arial"/>
        </w:rPr>
        <w:t xml:space="preserve">Die </w:t>
      </w:r>
      <w:r w:rsidRPr="2B523C1F">
        <w:rPr>
          <w:rFonts w:ascii="Arial" w:hAnsi="Arial" w:cs="Arial"/>
        </w:rPr>
        <w:t xml:space="preserve">Dose ist eine praktische und hochwertige Ready-To-Drink (RTD)-Variante der beliebten Party-Spirituose. Sie wurde im Januar 2024 von WALDEMAR BEHN eingeführt, um dem steigenden </w:t>
      </w:r>
      <w:r w:rsidR="00BD1157">
        <w:rPr>
          <w:rFonts w:ascii="Arial" w:hAnsi="Arial" w:cs="Arial"/>
        </w:rPr>
        <w:t>Trend und Wunsch</w:t>
      </w:r>
      <w:r w:rsidRPr="2B523C1F">
        <w:rPr>
          <w:rFonts w:ascii="Arial" w:hAnsi="Arial" w:cs="Arial"/>
        </w:rPr>
        <w:t xml:space="preserve"> nach praktischen Getränken für unterwegs</w:t>
      </w:r>
      <w:r w:rsidR="00BD1157">
        <w:rPr>
          <w:rFonts w:ascii="Arial" w:hAnsi="Arial" w:cs="Arial"/>
        </w:rPr>
        <w:t xml:space="preserve"> zu erfüllen</w:t>
      </w:r>
      <w:r w:rsidRPr="2B523C1F">
        <w:rPr>
          <w:rFonts w:ascii="Arial" w:hAnsi="Arial" w:cs="Arial"/>
        </w:rPr>
        <w:t xml:space="preserve">. Die 250-ml-Slim-Dose für den spontanen Genuss, in bester Gesellschaft und an jedem Ort, ist die passende Antwort auf den aktuellen Convenience-Trend und die dynamische Entwicklung des Ready-To-Drink-Marktes, und das in bekannter Premium Qualität. </w:t>
      </w:r>
      <w:r w:rsidR="00BD1157" w:rsidRPr="00BD1157">
        <w:rPr>
          <w:rFonts w:ascii="Arial" w:hAnsi="Arial" w:cs="Arial"/>
        </w:rPr>
        <w:t>In der Dose von Kleiner Feigling ist ein spritziger Vodka-Mix mit einem Alkoholgehalt von 10 % vol. enthalten, während Kleiner Feigling Das Original als Shot einen höheren Alkoholgehalt von 20 % vol. aufweist</w:t>
      </w:r>
      <w:r w:rsidR="00BD1157">
        <w:rPr>
          <w:rFonts w:ascii="Arial" w:hAnsi="Arial" w:cs="Arial"/>
        </w:rPr>
        <w:t xml:space="preserve">. </w:t>
      </w:r>
      <w:r w:rsidRPr="2B523C1F">
        <w:rPr>
          <w:rFonts w:ascii="Arial" w:hAnsi="Arial" w:cs="Arial"/>
        </w:rPr>
        <w:t xml:space="preserve">Premium </w:t>
      </w:r>
      <w:r w:rsidR="00D0749D" w:rsidRPr="00D0749D">
        <w:rPr>
          <w:rFonts w:ascii="Arial" w:hAnsi="Arial" w:cs="Arial"/>
        </w:rPr>
        <w:t>V</w:t>
      </w:r>
      <w:r w:rsidRPr="00D0749D">
        <w:rPr>
          <w:rFonts w:ascii="Arial" w:hAnsi="Arial" w:cs="Arial"/>
        </w:rPr>
        <w:t>odka und</w:t>
      </w:r>
      <w:r w:rsidRPr="2B523C1F">
        <w:rPr>
          <w:rFonts w:ascii="Arial" w:hAnsi="Arial" w:cs="Arial"/>
        </w:rPr>
        <w:t xml:space="preserve"> fruchtiges Feigenaroma, ergänzt um feinperlige Kohlensäure, bilden die Basis für den außergewöhnlich guten Geschmack, bei dem die sonnige Süße der Feigen genau richtig dosiert ist. Mit seinem spritzig-frischen Aroma</w:t>
      </w:r>
      <w:r w:rsidR="00907DA9">
        <w:rPr>
          <w:rFonts w:ascii="Arial" w:hAnsi="Arial" w:cs="Arial"/>
        </w:rPr>
        <w:t xml:space="preserve"> </w:t>
      </w:r>
      <w:r w:rsidRPr="2B523C1F">
        <w:rPr>
          <w:rFonts w:ascii="Arial" w:hAnsi="Arial" w:cs="Arial"/>
        </w:rPr>
        <w:t>sorgt der Kult-Drink in der Dose für gute Laune. Ganz einfach to go – mit Freundinnen und Freunden auf dem Weg zur Party</w:t>
      </w:r>
      <w:r w:rsidR="00BD1157">
        <w:rPr>
          <w:rFonts w:ascii="Arial" w:hAnsi="Arial" w:cs="Arial"/>
        </w:rPr>
        <w:t xml:space="preserve">, </w:t>
      </w:r>
      <w:r w:rsidRPr="2B523C1F">
        <w:rPr>
          <w:rFonts w:ascii="Arial" w:hAnsi="Arial" w:cs="Arial"/>
        </w:rPr>
        <w:t>beim Picknick im Park</w:t>
      </w:r>
      <w:r w:rsidR="00BD1157">
        <w:rPr>
          <w:rFonts w:ascii="Arial" w:hAnsi="Arial" w:cs="Arial"/>
        </w:rPr>
        <w:t xml:space="preserve"> oder bei der Grillsaison</w:t>
      </w:r>
      <w:r w:rsidRPr="2B523C1F">
        <w:rPr>
          <w:rFonts w:ascii="Arial" w:hAnsi="Arial" w:cs="Arial"/>
        </w:rPr>
        <w:t xml:space="preserve">, wo auch immer gefeiert wird, ob drinnen oder draußen, ist Kleiner Feigling </w:t>
      </w:r>
      <w:r w:rsidR="00D0749D">
        <w:rPr>
          <w:rFonts w:ascii="Arial" w:hAnsi="Arial" w:cs="Arial"/>
        </w:rPr>
        <w:t>Die</w:t>
      </w:r>
      <w:r w:rsidRPr="2B523C1F">
        <w:rPr>
          <w:rFonts w:ascii="Arial" w:hAnsi="Arial" w:cs="Arial"/>
        </w:rPr>
        <w:t xml:space="preserve"> Dose die perfekte Begleitung</w:t>
      </w:r>
      <w:r w:rsidR="00BD1157">
        <w:rPr>
          <w:rFonts w:ascii="Arial" w:hAnsi="Arial" w:cs="Arial"/>
        </w:rPr>
        <w:t xml:space="preserve"> für den spontanen Genuss</w:t>
      </w:r>
      <w:r w:rsidRPr="2B523C1F">
        <w:rPr>
          <w:rFonts w:ascii="Arial" w:hAnsi="Arial" w:cs="Arial"/>
        </w:rPr>
        <w:t xml:space="preserve">. </w:t>
      </w:r>
      <w:r w:rsidR="00BD1157">
        <w:rPr>
          <w:rFonts w:ascii="Arial" w:hAnsi="Arial" w:cs="Arial"/>
        </w:rPr>
        <w:t>Die Dose sollte am besten gut gekühlt genossen werden.</w:t>
      </w:r>
    </w:p>
    <w:p w14:paraId="23E118FF" w14:textId="1ED1B6C2" w:rsidR="007E7213" w:rsidRDefault="007E7213" w:rsidP="007E7213">
      <w:pPr>
        <w:spacing w:line="312" w:lineRule="auto"/>
        <w:contextualSpacing/>
        <w:rPr>
          <w:rFonts w:ascii="Arial" w:hAnsi="Arial" w:cs="Arial"/>
        </w:rPr>
      </w:pPr>
      <w:r w:rsidRPr="0041380D">
        <w:rPr>
          <w:rFonts w:ascii="Arial" w:hAnsi="Arial" w:cs="Arial"/>
        </w:rPr>
        <w:t xml:space="preserve">Weitere Informationen unter: </w:t>
      </w:r>
      <w:hyperlink r:id="rId10" w:history="1">
        <w:r w:rsidRPr="00174A0B">
          <w:rPr>
            <w:rStyle w:val="Hyperlink"/>
            <w:rFonts w:ascii="Arial" w:hAnsi="Arial" w:cs="Arial"/>
          </w:rPr>
          <w:t>kleinerfeigling.de</w:t>
        </w:r>
      </w:hyperlink>
      <w:r>
        <w:rPr>
          <w:rFonts w:ascii="Arial" w:hAnsi="Arial" w:cs="Arial"/>
        </w:rPr>
        <w:t xml:space="preserve"> </w:t>
      </w:r>
    </w:p>
    <w:p w14:paraId="0D88B992" w14:textId="0960D61A" w:rsidR="007E7213" w:rsidRDefault="007E7213" w:rsidP="007E7213">
      <w:pPr>
        <w:spacing w:line="312" w:lineRule="auto"/>
        <w:rPr>
          <w:rFonts w:ascii="Arial" w:hAnsi="Arial" w:cs="Arial"/>
        </w:rPr>
      </w:pPr>
      <w:r>
        <w:br/>
      </w:r>
      <w:r w:rsidRPr="2B523C1F">
        <w:rPr>
          <w:rFonts w:ascii="Arial" w:hAnsi="Arial" w:cs="Arial"/>
        </w:rPr>
        <w:t>Erhältlich ist Kleiner Feigling</w:t>
      </w:r>
      <w:r w:rsidR="00D0749D">
        <w:rPr>
          <w:rFonts w:ascii="Arial" w:hAnsi="Arial" w:cs="Arial"/>
        </w:rPr>
        <w:t xml:space="preserve"> Die Dose </w:t>
      </w:r>
      <w:r w:rsidRPr="2B523C1F">
        <w:rPr>
          <w:rFonts w:ascii="Arial" w:hAnsi="Arial" w:cs="Arial"/>
        </w:rPr>
        <w:t xml:space="preserve">im Lebensmitteleinzelhandel sowie online unter </w:t>
      </w:r>
      <w:hyperlink r:id="rId11">
        <w:r w:rsidRPr="2B523C1F">
          <w:rPr>
            <w:rStyle w:val="Hyperlink"/>
            <w:rFonts w:ascii="Arial" w:hAnsi="Arial" w:cs="Arial"/>
          </w:rPr>
          <w:t>behnshop.de</w:t>
        </w:r>
      </w:hyperlink>
      <w:r w:rsidRPr="2B523C1F">
        <w:rPr>
          <w:rFonts w:ascii="Arial" w:hAnsi="Arial" w:cs="Arial"/>
        </w:rPr>
        <w:t xml:space="preserve"> oder anderen Onlineshops.</w:t>
      </w:r>
    </w:p>
    <w:tbl>
      <w:tblPr>
        <w:tblStyle w:val="Tabellenraster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261175" w14:paraId="225568E2" w14:textId="77777777" w:rsidTr="005B4643">
        <w:trPr>
          <w:trHeight w:val="2397"/>
        </w:trPr>
        <w:tc>
          <w:tcPr>
            <w:tcW w:w="254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14:paraId="48E934D4" w14:textId="77777777" w:rsidR="00261175" w:rsidRDefault="00261175" w:rsidP="005B4643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1A56664" wp14:editId="08E01E81">
                  <wp:extent cx="414306" cy="1036320"/>
                  <wp:effectExtent l="0" t="0" r="5080" b="0"/>
                  <wp:docPr id="1766972652" name="Grafik 1" descr="Ein Bild, das Text, Blechdose, Dose, Aluminiumdos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972652" name="Grafik 1" descr="Ein Bild, das Text, Blechdose, Dose, Aluminiumdose enthält.&#10;&#10;Automatisch generierte Beschreibu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312" cy="1056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9C8135" w14:textId="77777777" w:rsidR="00261175" w:rsidRDefault="00261175" w:rsidP="005B4643">
            <w:pPr>
              <w:spacing w:after="120" w:line="312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515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015A013" w14:textId="77777777" w:rsidR="00261175" w:rsidRDefault="00261175" w:rsidP="005B4643">
            <w:pPr>
              <w:spacing w:after="120" w:line="312" w:lineRule="auto"/>
              <w:rPr>
                <w:rFonts w:ascii="Arial" w:hAnsi="Arial" w:cs="Arial"/>
                <w:b/>
                <w:bCs/>
              </w:rPr>
            </w:pPr>
          </w:p>
          <w:p w14:paraId="68AAE03A" w14:textId="77777777" w:rsidR="00261175" w:rsidRDefault="00261175" w:rsidP="005B4643">
            <w:pPr>
              <w:spacing w:after="12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Faktencheck Kleiner Feigling Die Dose</w:t>
            </w:r>
          </w:p>
          <w:p w14:paraId="7E68FD6A" w14:textId="77777777" w:rsidR="00261175" w:rsidRPr="000C33EF" w:rsidRDefault="00261175" w:rsidP="005B4643">
            <w:pPr>
              <w:numPr>
                <w:ilvl w:val="0"/>
                <w:numId w:val="2"/>
              </w:numPr>
              <w:spacing w:after="120" w:line="312" w:lineRule="auto"/>
              <w:contextualSpacing/>
              <w:rPr>
                <w:rFonts w:ascii="Arial" w:hAnsi="Arial" w:cs="Arial"/>
              </w:rPr>
            </w:pPr>
            <w:r w:rsidRPr="000C33EF">
              <w:rPr>
                <w:rFonts w:ascii="Arial" w:hAnsi="Arial" w:cs="Arial"/>
              </w:rPr>
              <w:t>0,25-Liter-Dose</w:t>
            </w:r>
          </w:p>
          <w:p w14:paraId="1CCEBE60" w14:textId="77777777" w:rsidR="00261175" w:rsidRPr="000C33EF" w:rsidRDefault="00261175" w:rsidP="005B4643">
            <w:pPr>
              <w:numPr>
                <w:ilvl w:val="0"/>
                <w:numId w:val="2"/>
              </w:numPr>
              <w:spacing w:after="120" w:line="312" w:lineRule="auto"/>
              <w:contextualSpacing/>
              <w:rPr>
                <w:rFonts w:ascii="Arial" w:hAnsi="Arial" w:cs="Arial"/>
              </w:rPr>
            </w:pPr>
            <w:r w:rsidRPr="000C33EF">
              <w:rPr>
                <w:rFonts w:ascii="Arial" w:hAnsi="Arial" w:cs="Arial"/>
              </w:rPr>
              <w:t xml:space="preserve">10 % vol. </w:t>
            </w:r>
          </w:p>
          <w:p w14:paraId="07960BF5" w14:textId="2F4B05D1" w:rsidR="00261175" w:rsidRPr="00261175" w:rsidRDefault="00261175" w:rsidP="00261175">
            <w:pPr>
              <w:numPr>
                <w:ilvl w:val="0"/>
                <w:numId w:val="2"/>
              </w:numPr>
              <w:spacing w:after="120" w:line="312" w:lineRule="auto"/>
              <w:contextualSpacing/>
              <w:rPr>
                <w:rFonts w:ascii="Arial" w:hAnsi="Arial" w:cs="Arial"/>
              </w:rPr>
            </w:pPr>
            <w:r w:rsidRPr="00DB58E2">
              <w:rPr>
                <w:rFonts w:ascii="Arial" w:hAnsi="Arial" w:cs="Arial"/>
              </w:rPr>
              <w:t>UVP 2,69 EUR</w:t>
            </w:r>
          </w:p>
        </w:tc>
      </w:tr>
    </w:tbl>
    <w:p w14:paraId="2AA1B20E" w14:textId="33D113F5" w:rsidR="008D576E" w:rsidRDefault="008D576E" w:rsidP="00D56826">
      <w:pPr>
        <w:spacing w:line="312" w:lineRule="auto"/>
        <w:rPr>
          <w:rFonts w:ascii="Arial" w:hAnsi="Arial" w:cs="Arial"/>
        </w:rPr>
      </w:pPr>
    </w:p>
    <w:p w14:paraId="76F75B38" w14:textId="142BE378" w:rsidR="00EF35A1" w:rsidRPr="002A2290" w:rsidRDefault="00EF35A1" w:rsidP="00D56826">
      <w:pPr>
        <w:spacing w:line="312" w:lineRule="auto"/>
        <w:rPr>
          <w:rFonts w:ascii="Arial" w:hAnsi="Arial" w:cs="Arial"/>
        </w:rPr>
      </w:pPr>
      <w:r w:rsidRPr="00EF35A1">
        <w:rPr>
          <w:rFonts w:ascii="Arial" w:hAnsi="Arial" w:cs="Arial"/>
        </w:rPr>
        <w:t xml:space="preserve">Stand: </w:t>
      </w:r>
      <w:r w:rsidR="00C043FB">
        <w:rPr>
          <w:rFonts w:ascii="Arial" w:hAnsi="Arial" w:cs="Arial"/>
        </w:rPr>
        <w:t>März 2024</w:t>
      </w:r>
    </w:p>
    <w:sectPr w:rsidR="00EF35A1" w:rsidRPr="002A2290" w:rsidSect="0023110D">
      <w:headerReference w:type="default" r:id="rId13"/>
      <w:footerReference w:type="default" r:id="rId14"/>
      <w:pgSz w:w="11906" w:h="16838"/>
      <w:pgMar w:top="212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D5CE0" w14:textId="77777777" w:rsidR="0023110D" w:rsidRDefault="0023110D" w:rsidP="002728C0">
      <w:pPr>
        <w:spacing w:after="0" w:line="240" w:lineRule="auto"/>
      </w:pPr>
      <w:r>
        <w:separator/>
      </w:r>
    </w:p>
  </w:endnote>
  <w:endnote w:type="continuationSeparator" w:id="0">
    <w:p w14:paraId="41828D5F" w14:textId="77777777" w:rsidR="0023110D" w:rsidRDefault="0023110D" w:rsidP="0027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C885" w14:textId="77777777" w:rsidR="00FB7696" w:rsidRPr="00FB7696" w:rsidRDefault="00FB7696" w:rsidP="00266DAB">
    <w:pPr>
      <w:pBdr>
        <w:top w:val="single" w:sz="4" w:space="1" w:color="auto"/>
      </w:pBdr>
      <w:spacing w:after="0" w:line="360" w:lineRule="auto"/>
      <w:rPr>
        <w:rFonts w:ascii="Arial" w:eastAsia="Times New Roman" w:hAnsi="Arial" w:cs="Arial"/>
        <w:b/>
        <w:sz w:val="16"/>
        <w:szCs w:val="20"/>
        <w:lang w:eastAsia="de-DE"/>
      </w:rPr>
    </w:pPr>
    <w:bookmarkStart w:id="0" w:name="_Hlk70671919"/>
    <w:bookmarkStart w:id="1" w:name="_Hlk70671920"/>
    <w:bookmarkStart w:id="2" w:name="_Hlk70671921"/>
    <w:bookmarkStart w:id="3" w:name="_Hlk70671922"/>
    <w:bookmarkStart w:id="4" w:name="_Hlk70671923"/>
    <w:bookmarkStart w:id="5" w:name="_Hlk70671924"/>
    <w:bookmarkStart w:id="6" w:name="_Hlk70671944"/>
    <w:bookmarkStart w:id="7" w:name="_Hlk70671945"/>
    <w:bookmarkStart w:id="8" w:name="_Hlk70672228"/>
    <w:bookmarkStart w:id="9" w:name="_Hlk70672229"/>
    <w:bookmarkStart w:id="10" w:name="_Hlk70672433"/>
    <w:bookmarkStart w:id="11" w:name="_Hlk70672434"/>
    <w:r w:rsidRPr="00FB7696">
      <w:rPr>
        <w:rFonts w:ascii="Arial" w:eastAsia="Times New Roman" w:hAnsi="Arial" w:cs="Arial"/>
        <w:b/>
        <w:sz w:val="16"/>
        <w:szCs w:val="20"/>
        <w:lang w:eastAsia="de-DE"/>
      </w:rPr>
      <w:t>Weitere Informationen und Bildmaterial können Sie gerne anfordern bei: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p w14:paraId="02478E2D" w14:textId="15A5F32B" w:rsidR="00266DAB" w:rsidRPr="00266DAB" w:rsidRDefault="00266DAB" w:rsidP="00266DAB">
    <w:pPr>
      <w:pStyle w:val="Fuzeile"/>
      <w:spacing w:line="360" w:lineRule="auto"/>
      <w:rPr>
        <w:rFonts w:ascii="Arial" w:eastAsia="Times New Roman" w:hAnsi="Arial" w:cs="Arial"/>
        <w:sz w:val="16"/>
        <w:szCs w:val="20"/>
        <w:lang w:eastAsia="de-DE"/>
      </w:rPr>
    </w:pPr>
    <w:r w:rsidRPr="00266DAB">
      <w:rPr>
        <w:rFonts w:ascii="Arial" w:eastAsia="Times New Roman" w:hAnsi="Arial" w:cs="Arial"/>
        <w:sz w:val="16"/>
        <w:szCs w:val="20"/>
        <w:lang w:eastAsia="de-DE"/>
      </w:rPr>
      <w:t>kommunikation.pur GmbH</w:t>
    </w:r>
    <w:r w:rsidR="00C043FB">
      <w:rPr>
        <w:rFonts w:ascii="Arial" w:eastAsia="Times New Roman" w:hAnsi="Arial" w:cs="Arial"/>
        <w:sz w:val="16"/>
        <w:szCs w:val="20"/>
        <w:lang w:eastAsia="de-DE"/>
      </w:rPr>
      <w:t>, Candy Sierks</w:t>
    </w:r>
    <w:r w:rsidRPr="00266DAB">
      <w:rPr>
        <w:rFonts w:ascii="Arial" w:eastAsia="Times New Roman" w:hAnsi="Arial" w:cs="Arial"/>
        <w:sz w:val="16"/>
        <w:szCs w:val="20"/>
        <w:lang w:eastAsia="de-DE"/>
      </w:rPr>
      <w:t>, Sendlinger Straße 31, 80331 München</w:t>
    </w:r>
  </w:p>
  <w:p w14:paraId="6FB95423" w14:textId="7435A848" w:rsidR="00EF35A1" w:rsidRPr="00FB7696" w:rsidRDefault="00266DAB" w:rsidP="00266DAB">
    <w:pPr>
      <w:pStyle w:val="Fuzeile"/>
      <w:spacing w:line="360" w:lineRule="auto"/>
    </w:pPr>
    <w:r w:rsidRPr="00266DAB">
      <w:rPr>
        <w:rFonts w:ascii="Arial" w:eastAsia="Times New Roman" w:hAnsi="Arial" w:cs="Arial"/>
        <w:sz w:val="16"/>
        <w:szCs w:val="20"/>
        <w:lang w:eastAsia="de-DE"/>
      </w:rPr>
      <w:t xml:space="preserve">Telefon: +49.89.23 23 63 </w:t>
    </w:r>
    <w:r w:rsidR="00C043FB">
      <w:rPr>
        <w:rFonts w:ascii="Arial" w:eastAsia="Times New Roman" w:hAnsi="Arial" w:cs="Arial"/>
        <w:sz w:val="16"/>
        <w:szCs w:val="20"/>
        <w:lang w:eastAsia="de-DE"/>
      </w:rPr>
      <w:t>48</w:t>
    </w:r>
    <w:r w:rsidRPr="00266DAB">
      <w:rPr>
        <w:rFonts w:ascii="Arial" w:eastAsia="Times New Roman" w:hAnsi="Arial" w:cs="Arial"/>
        <w:sz w:val="16"/>
        <w:szCs w:val="20"/>
        <w:lang w:eastAsia="de-DE"/>
      </w:rPr>
      <w:t xml:space="preserve">, Fax: +49.89.23 23 63 51, E-Mail: </w:t>
    </w:r>
    <w:r w:rsidR="00C043FB">
      <w:rPr>
        <w:rFonts w:ascii="Arial" w:eastAsia="Times New Roman" w:hAnsi="Arial" w:cs="Arial"/>
        <w:sz w:val="16"/>
        <w:szCs w:val="20"/>
        <w:lang w:eastAsia="de-DE"/>
      </w:rPr>
      <w:t>sierks</w:t>
    </w:r>
    <w:r w:rsidRPr="00266DAB">
      <w:rPr>
        <w:rFonts w:ascii="Arial" w:eastAsia="Times New Roman" w:hAnsi="Arial" w:cs="Arial"/>
        <w:sz w:val="16"/>
        <w:szCs w:val="20"/>
        <w:lang w:eastAsia="de-DE"/>
      </w:rPr>
      <w:t>@kommunikationpur.com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F1963" w14:textId="77777777" w:rsidR="0023110D" w:rsidRDefault="0023110D" w:rsidP="002728C0">
      <w:pPr>
        <w:spacing w:after="0" w:line="240" w:lineRule="auto"/>
      </w:pPr>
      <w:r>
        <w:separator/>
      </w:r>
    </w:p>
  </w:footnote>
  <w:footnote w:type="continuationSeparator" w:id="0">
    <w:p w14:paraId="755E8009" w14:textId="77777777" w:rsidR="0023110D" w:rsidRDefault="0023110D" w:rsidP="00272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EC8E8" w14:textId="64246FF5" w:rsidR="002728C0" w:rsidRPr="0097560E" w:rsidRDefault="00C043FB" w:rsidP="0097560E">
    <w:pPr>
      <w:pStyle w:val="Kopfzeile"/>
      <w:rPr>
        <w:sz w:val="28"/>
        <w:szCs w:val="28"/>
      </w:rPr>
    </w:pPr>
    <w:r w:rsidRPr="0097560E">
      <w:rPr>
        <w:noProof/>
        <w:sz w:val="28"/>
        <w:szCs w:val="28"/>
        <w:lang w:eastAsia="de-DE"/>
      </w:rPr>
      <w:drawing>
        <wp:anchor distT="0" distB="0" distL="114300" distR="114300" simplePos="0" relativeHeight="251658240" behindDoc="0" locked="0" layoutInCell="1" allowOverlap="1" wp14:anchorId="16D73C51" wp14:editId="40914CBB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1551305" cy="544195"/>
          <wp:effectExtent l="0" t="0" r="0" b="825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130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8"/>
        <w:szCs w:val="28"/>
        <w:lang w:eastAsia="de-DE"/>
      </w:rPr>
      <w:drawing>
        <wp:anchor distT="0" distB="0" distL="114300" distR="114300" simplePos="0" relativeHeight="251659264" behindDoc="0" locked="0" layoutInCell="1" allowOverlap="1" wp14:anchorId="1C62553D" wp14:editId="2F9E0152">
          <wp:simplePos x="0" y="0"/>
          <wp:positionH relativeFrom="margin">
            <wp:align>left</wp:align>
          </wp:positionH>
          <wp:positionV relativeFrom="paragraph">
            <wp:posOffset>-130175</wp:posOffset>
          </wp:positionV>
          <wp:extent cx="810895" cy="810895"/>
          <wp:effectExtent l="0" t="0" r="8255" b="8255"/>
          <wp:wrapThrough wrapText="bothSides">
            <wp:wrapPolygon edited="0">
              <wp:start x="0" y="0"/>
              <wp:lineTo x="0" y="21312"/>
              <wp:lineTo x="21312" y="21312"/>
              <wp:lineTo x="21312" y="0"/>
              <wp:lineTo x="0" y="0"/>
            </wp:wrapPolygon>
          </wp:wrapThrough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33F"/>
    <w:multiLevelType w:val="hybridMultilevel"/>
    <w:tmpl w:val="5F3CF7F8"/>
    <w:lvl w:ilvl="0" w:tplc="F3BAE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845A8"/>
    <w:multiLevelType w:val="hybridMultilevel"/>
    <w:tmpl w:val="FF782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8477B3"/>
    <w:multiLevelType w:val="hybridMultilevel"/>
    <w:tmpl w:val="E07CA482"/>
    <w:lvl w:ilvl="0" w:tplc="94527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100871">
    <w:abstractNumId w:val="0"/>
  </w:num>
  <w:num w:numId="2" w16cid:durableId="252248603">
    <w:abstractNumId w:val="1"/>
  </w:num>
  <w:num w:numId="3" w16cid:durableId="750666538">
    <w:abstractNumId w:val="1"/>
  </w:num>
  <w:num w:numId="4" w16cid:durableId="1510102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43D"/>
    <w:rsid w:val="00037224"/>
    <w:rsid w:val="0006759D"/>
    <w:rsid w:val="00083E31"/>
    <w:rsid w:val="00086E85"/>
    <w:rsid w:val="000C3486"/>
    <w:rsid w:val="00102C3B"/>
    <w:rsid w:val="00103926"/>
    <w:rsid w:val="001559D8"/>
    <w:rsid w:val="0016758F"/>
    <w:rsid w:val="001C33BC"/>
    <w:rsid w:val="002244A8"/>
    <w:rsid w:val="0023110D"/>
    <w:rsid w:val="00255164"/>
    <w:rsid w:val="00261175"/>
    <w:rsid w:val="0026587E"/>
    <w:rsid w:val="00266DAB"/>
    <w:rsid w:val="00267608"/>
    <w:rsid w:val="002728C0"/>
    <w:rsid w:val="002A2290"/>
    <w:rsid w:val="002A704C"/>
    <w:rsid w:val="002E7D37"/>
    <w:rsid w:val="00340290"/>
    <w:rsid w:val="00392C96"/>
    <w:rsid w:val="003A1422"/>
    <w:rsid w:val="003E7207"/>
    <w:rsid w:val="0041380D"/>
    <w:rsid w:val="004149AA"/>
    <w:rsid w:val="004719F6"/>
    <w:rsid w:val="004A4841"/>
    <w:rsid w:val="004B2C4E"/>
    <w:rsid w:val="004E64AC"/>
    <w:rsid w:val="004E680D"/>
    <w:rsid w:val="00524257"/>
    <w:rsid w:val="00551795"/>
    <w:rsid w:val="0057583A"/>
    <w:rsid w:val="005854C0"/>
    <w:rsid w:val="005A42EE"/>
    <w:rsid w:val="005B4643"/>
    <w:rsid w:val="005C628B"/>
    <w:rsid w:val="005D3A5E"/>
    <w:rsid w:val="005F54DE"/>
    <w:rsid w:val="00617CE6"/>
    <w:rsid w:val="006267F8"/>
    <w:rsid w:val="00637C23"/>
    <w:rsid w:val="00652CA4"/>
    <w:rsid w:val="00685618"/>
    <w:rsid w:val="00687EA6"/>
    <w:rsid w:val="006A6B94"/>
    <w:rsid w:val="006E4599"/>
    <w:rsid w:val="006F300E"/>
    <w:rsid w:val="006F6778"/>
    <w:rsid w:val="0071181D"/>
    <w:rsid w:val="007231F2"/>
    <w:rsid w:val="0072343D"/>
    <w:rsid w:val="00731671"/>
    <w:rsid w:val="00760857"/>
    <w:rsid w:val="0077458B"/>
    <w:rsid w:val="00785079"/>
    <w:rsid w:val="007856C9"/>
    <w:rsid w:val="00787EF1"/>
    <w:rsid w:val="007E7213"/>
    <w:rsid w:val="008147D5"/>
    <w:rsid w:val="008C5BB8"/>
    <w:rsid w:val="008D0DEC"/>
    <w:rsid w:val="008D576E"/>
    <w:rsid w:val="00907DA9"/>
    <w:rsid w:val="0097560E"/>
    <w:rsid w:val="00976726"/>
    <w:rsid w:val="009969E3"/>
    <w:rsid w:val="009D0C27"/>
    <w:rsid w:val="00A61EB4"/>
    <w:rsid w:val="00A6717A"/>
    <w:rsid w:val="00AA7AF6"/>
    <w:rsid w:val="00AC490D"/>
    <w:rsid w:val="00AF49EF"/>
    <w:rsid w:val="00B438F9"/>
    <w:rsid w:val="00B526A1"/>
    <w:rsid w:val="00BC737C"/>
    <w:rsid w:val="00BD1157"/>
    <w:rsid w:val="00BD1B8A"/>
    <w:rsid w:val="00C043FB"/>
    <w:rsid w:val="00C179C7"/>
    <w:rsid w:val="00C355D6"/>
    <w:rsid w:val="00C437A1"/>
    <w:rsid w:val="00C62E36"/>
    <w:rsid w:val="00C67AAC"/>
    <w:rsid w:val="00C708F4"/>
    <w:rsid w:val="00C87D62"/>
    <w:rsid w:val="00CC6270"/>
    <w:rsid w:val="00CD7AC2"/>
    <w:rsid w:val="00CE7CEC"/>
    <w:rsid w:val="00CF71E3"/>
    <w:rsid w:val="00D0749D"/>
    <w:rsid w:val="00D4201C"/>
    <w:rsid w:val="00D56826"/>
    <w:rsid w:val="00D64A03"/>
    <w:rsid w:val="00D6582C"/>
    <w:rsid w:val="00D87665"/>
    <w:rsid w:val="00DA07A2"/>
    <w:rsid w:val="00DA5C00"/>
    <w:rsid w:val="00E13AA0"/>
    <w:rsid w:val="00E15D29"/>
    <w:rsid w:val="00E405DD"/>
    <w:rsid w:val="00E56E31"/>
    <w:rsid w:val="00EA58F4"/>
    <w:rsid w:val="00EB0A6A"/>
    <w:rsid w:val="00EC1086"/>
    <w:rsid w:val="00EC11B7"/>
    <w:rsid w:val="00EC4DF2"/>
    <w:rsid w:val="00ED14A0"/>
    <w:rsid w:val="00EE442F"/>
    <w:rsid w:val="00EF35A1"/>
    <w:rsid w:val="00F56D70"/>
    <w:rsid w:val="00F71EDA"/>
    <w:rsid w:val="00F90A9D"/>
    <w:rsid w:val="00FB7696"/>
    <w:rsid w:val="00FD3028"/>
    <w:rsid w:val="1E273A44"/>
    <w:rsid w:val="20CD3273"/>
    <w:rsid w:val="2B523C1F"/>
    <w:rsid w:val="485F0C8B"/>
    <w:rsid w:val="4CEF5968"/>
    <w:rsid w:val="58EB1FDA"/>
    <w:rsid w:val="637CAC3C"/>
    <w:rsid w:val="6518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C3AA3"/>
  <w15:docId w15:val="{6832108C-728F-4AAC-A272-83C07642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380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56D70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6D7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83E31"/>
    <w:pPr>
      <w:ind w:left="720"/>
      <w:contextualSpacing/>
    </w:pPr>
  </w:style>
  <w:style w:type="table" w:styleId="Tabellenraster">
    <w:name w:val="Table Grid"/>
    <w:basedOn w:val="NormaleTabelle"/>
    <w:uiPriority w:val="39"/>
    <w:rsid w:val="008D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28C0"/>
  </w:style>
  <w:style w:type="paragraph" w:styleId="Fuzeile">
    <w:name w:val="footer"/>
    <w:basedOn w:val="Standard"/>
    <w:link w:val="FuzeileZchn"/>
    <w:uiPriority w:val="99"/>
    <w:unhideWhenUsed/>
    <w:rsid w:val="0027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28C0"/>
  </w:style>
  <w:style w:type="character" w:styleId="Kommentarzeichen">
    <w:name w:val="annotation reference"/>
    <w:basedOn w:val="Absatz-Standardschriftart"/>
    <w:uiPriority w:val="99"/>
    <w:semiHidden/>
    <w:unhideWhenUsed/>
    <w:rsid w:val="00102C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02C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02C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2C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2C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4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490D"/>
    <w:rPr>
      <w:rFonts w:ascii="Tahoma" w:hAnsi="Tahoma" w:cs="Tahoma"/>
      <w:sz w:val="16"/>
      <w:szCs w:val="1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380D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11B7"/>
    <w:rPr>
      <w:color w:val="605E5C"/>
      <w:shd w:val="clear" w:color="auto" w:fill="E1DFDD"/>
    </w:rPr>
  </w:style>
  <w:style w:type="table" w:customStyle="1" w:styleId="Tabellenraster2">
    <w:name w:val="Tabellenraster2"/>
    <w:basedOn w:val="NormaleTabelle"/>
    <w:next w:val="Tabellenraster"/>
    <w:uiPriority w:val="39"/>
    <w:rsid w:val="00C67A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26117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6117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61175"/>
    <w:rPr>
      <w:vertAlign w:val="superscript"/>
    </w:rPr>
  </w:style>
  <w:style w:type="character" w:customStyle="1" w:styleId="cf01">
    <w:name w:val="cf01"/>
    <w:basedOn w:val="Absatz-Standardschriftart"/>
    <w:rsid w:val="0026117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0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6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1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ehnshop.de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kleinerfeigling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0CDBE82A28C346A1BDA3C2D5FC0297" ma:contentTypeVersion="15" ma:contentTypeDescription="Ein neues Dokument erstellen." ma:contentTypeScope="" ma:versionID="cffc2a8f75643a01c8cfb4c04f5d8951">
  <xsd:schema xmlns:xsd="http://www.w3.org/2001/XMLSchema" xmlns:xs="http://www.w3.org/2001/XMLSchema" xmlns:p="http://schemas.microsoft.com/office/2006/metadata/properties" xmlns:ns2="df44556b-f677-487f-84bf-12f6ebd8f383" xmlns:ns3="fb3fc3ea-e168-48b7-8e28-9027d3f406fc" targetNamespace="http://schemas.microsoft.com/office/2006/metadata/properties" ma:root="true" ma:fieldsID="ba7db41ee94460bb7fa5a440fdfa6609" ns2:_="" ns3:_="">
    <xsd:import namespace="df44556b-f677-487f-84bf-12f6ebd8f383"/>
    <xsd:import namespace="fb3fc3ea-e168-48b7-8e28-9027d3f406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4556b-f677-487f-84bf-12f6ebd8f3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dmarkierungen" ma:readOnly="false" ma:fieldId="{5cf76f15-5ced-4ddc-b409-7134ff3c332f}" ma:taxonomyMulti="true" ma:sspId="baf5b1bb-bec0-44e1-b829-53a46bc64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fc3ea-e168-48b7-8e28-9027d3f406f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4a10f4c-6884-4629-ae7c-7558214e6bc4}" ma:internalName="TaxCatchAll" ma:showField="CatchAllData" ma:web="fb3fc3ea-e168-48b7-8e28-9027d3f406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85F573-71D7-4C2F-A517-1BC72CA639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4865-F3E7-43C1-B667-6FB4759A4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4556b-f677-487f-84bf-12f6ebd8f383"/>
    <ds:schemaRef ds:uri="fb3fc3ea-e168-48b7-8e28-9027d3f406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C0999-F93E-48E1-97CE-200DC564EB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Waldemar Behn GmbH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Lintl - kommunikation.pur GmbH</dc:creator>
  <cp:keywords/>
  <dc:description/>
  <cp:lastModifiedBy>kommunikation.pur Nadine Weinmann</cp:lastModifiedBy>
  <cp:revision>2</cp:revision>
  <dcterms:created xsi:type="dcterms:W3CDTF">2024-03-28T13:08:00Z</dcterms:created>
  <dcterms:modified xsi:type="dcterms:W3CDTF">2024-04-08T09:47:00Z</dcterms:modified>
</cp:coreProperties>
</file>